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B7A9" w14:textId="77777777" w:rsidR="00CB474C" w:rsidRDefault="00CB474C" w:rsidP="00437F82">
      <w:pPr>
        <w:pStyle w:val="NormalWeb"/>
        <w:rPr>
          <w:rFonts w:ascii="Verdana" w:hAnsi="Verdana"/>
          <w:color w:val="000000"/>
          <w:sz w:val="15"/>
          <w:szCs w:val="15"/>
        </w:rPr>
      </w:pPr>
    </w:p>
    <w:p w14:paraId="68AB4233" w14:textId="4F3A6B77" w:rsidR="00CB474C" w:rsidRPr="00CB474C" w:rsidRDefault="00CB474C" w:rsidP="00437F82">
      <w:pPr>
        <w:pStyle w:val="NormalWeb"/>
        <w:rPr>
          <w:rFonts w:ascii="Verdana" w:hAnsi="Verdana"/>
          <w:b/>
          <w:bCs/>
          <w:color w:val="000000"/>
          <w:sz w:val="15"/>
          <w:szCs w:val="15"/>
        </w:rPr>
      </w:pPr>
      <w:r w:rsidRPr="00CB474C">
        <w:rPr>
          <w:rFonts w:ascii="Verdana" w:hAnsi="Verdana"/>
          <w:b/>
          <w:bCs/>
          <w:color w:val="000000"/>
          <w:sz w:val="15"/>
          <w:szCs w:val="15"/>
        </w:rPr>
        <w:t>Introduction to Governance</w:t>
      </w:r>
    </w:p>
    <w:p w14:paraId="0810F71F" w14:textId="2743A204" w:rsidR="00437F82" w:rsidRDefault="00437F82" w:rsidP="00437F82">
      <w:pPr>
        <w:pStyle w:val="NormalWeb"/>
        <w:rPr>
          <w:rFonts w:ascii="Verdana" w:hAnsi="Verdana"/>
          <w:color w:val="000000"/>
          <w:sz w:val="15"/>
          <w:szCs w:val="15"/>
        </w:rPr>
      </w:pPr>
      <w:r>
        <w:rPr>
          <w:rFonts w:ascii="Verdana" w:hAnsi="Verdana"/>
          <w:color w:val="000000"/>
          <w:sz w:val="15"/>
          <w:szCs w:val="15"/>
        </w:rPr>
        <w:t>Local Councils are statutory bodies which are set and controlled by law.   This means there are certain rules and procedures which a Council must follow.</w:t>
      </w:r>
    </w:p>
    <w:p w14:paraId="0DE5219A" w14:textId="77777777" w:rsidR="00437F82" w:rsidRDefault="00437F82" w:rsidP="00437F82">
      <w:pPr>
        <w:pStyle w:val="NormalWeb"/>
        <w:rPr>
          <w:rFonts w:ascii="Verdana" w:hAnsi="Verdana"/>
          <w:color w:val="000000"/>
          <w:sz w:val="15"/>
          <w:szCs w:val="15"/>
        </w:rPr>
      </w:pPr>
      <w:r>
        <w:rPr>
          <w:rFonts w:ascii="Verdana" w:hAnsi="Verdana"/>
          <w:color w:val="000000"/>
          <w:sz w:val="15"/>
          <w:szCs w:val="15"/>
        </w:rPr>
        <w:t>The term </w:t>
      </w:r>
      <w:r>
        <w:rPr>
          <w:rStyle w:val="Emphasis"/>
          <w:rFonts w:ascii="Verdana" w:hAnsi="Verdana"/>
          <w:color w:val="000000"/>
          <w:sz w:val="15"/>
          <w:szCs w:val="15"/>
        </w:rPr>
        <w:t>Local</w:t>
      </w:r>
      <w:r>
        <w:rPr>
          <w:rFonts w:ascii="Verdana" w:hAnsi="Verdana"/>
          <w:color w:val="000000"/>
          <w:sz w:val="15"/>
          <w:szCs w:val="15"/>
        </w:rPr>
        <w:t> </w:t>
      </w:r>
      <w:r>
        <w:rPr>
          <w:rStyle w:val="Emphasis"/>
          <w:rFonts w:ascii="Verdana" w:hAnsi="Verdana"/>
          <w:color w:val="000000"/>
          <w:sz w:val="15"/>
          <w:szCs w:val="15"/>
        </w:rPr>
        <w:t>Council</w:t>
      </w:r>
      <w:r>
        <w:rPr>
          <w:rFonts w:ascii="Verdana" w:hAnsi="Verdana"/>
          <w:color w:val="000000"/>
          <w:sz w:val="15"/>
          <w:szCs w:val="15"/>
        </w:rPr>
        <w:t> is used universally to describe Parish Councils, Town Councils, Neighbourhood and Community Councils.  Local Councils are the first tier of local government.   For further information have a look at the </w:t>
      </w:r>
      <w:hyperlink r:id="rId4" w:history="1">
        <w:r>
          <w:rPr>
            <w:rStyle w:val="Hyperlink"/>
            <w:rFonts w:ascii="Verdana" w:hAnsi="Verdana"/>
            <w:sz w:val="15"/>
            <w:szCs w:val="15"/>
          </w:rPr>
          <w:t>National Association of Local Council website</w:t>
        </w:r>
      </w:hyperlink>
      <w:r>
        <w:rPr>
          <w:rFonts w:ascii="Verdana" w:hAnsi="Verdana"/>
          <w:color w:val="000000"/>
          <w:sz w:val="15"/>
          <w:szCs w:val="15"/>
        </w:rPr>
        <w:t>.</w:t>
      </w:r>
    </w:p>
    <w:p w14:paraId="2A46D369" w14:textId="42293F87" w:rsidR="00437F82" w:rsidRDefault="00437F82" w:rsidP="00437F82">
      <w:pPr>
        <w:pStyle w:val="NormalWeb"/>
        <w:rPr>
          <w:rFonts w:ascii="Verdana" w:hAnsi="Verdana"/>
          <w:color w:val="000000"/>
          <w:sz w:val="15"/>
          <w:szCs w:val="15"/>
        </w:rPr>
      </w:pPr>
      <w:r>
        <w:rPr>
          <w:rFonts w:ascii="Verdana" w:hAnsi="Verdana"/>
          <w:color w:val="000000"/>
          <w:sz w:val="15"/>
          <w:szCs w:val="15"/>
        </w:rPr>
        <w:t>Councils have legal powers which determine what they can (have the power to do) and cannot do.   The regulations which determine the duties Councils must do and what powers it is able to do in order to carry out its functions are set out by </w:t>
      </w:r>
      <w:hyperlink r:id="rId5" w:history="1">
        <w:r>
          <w:rPr>
            <w:rStyle w:val="Hyperlink"/>
            <w:rFonts w:ascii="Verdana" w:hAnsi="Verdana"/>
            <w:sz w:val="15"/>
            <w:szCs w:val="15"/>
          </w:rPr>
          <w:t>Acts of Parliament</w:t>
        </w:r>
      </w:hyperlink>
      <w:r>
        <w:rPr>
          <w:rFonts w:ascii="Verdana" w:hAnsi="Verdana"/>
          <w:color w:val="000000"/>
          <w:sz w:val="15"/>
          <w:szCs w:val="15"/>
        </w:rPr>
        <w:t>.</w:t>
      </w:r>
    </w:p>
    <w:p w14:paraId="7A291B0A" w14:textId="77777777" w:rsidR="00437F82" w:rsidRDefault="00437F82" w:rsidP="00437F82">
      <w:pPr>
        <w:pStyle w:val="NormalWeb"/>
        <w:rPr>
          <w:rFonts w:ascii="Verdana" w:hAnsi="Verdana"/>
          <w:color w:val="000000"/>
          <w:sz w:val="15"/>
          <w:szCs w:val="15"/>
        </w:rPr>
      </w:pPr>
      <w:r>
        <w:rPr>
          <w:rFonts w:ascii="Verdana" w:hAnsi="Verdana"/>
          <w:color w:val="000000"/>
          <w:sz w:val="15"/>
          <w:szCs w:val="15"/>
        </w:rPr>
        <w:t xml:space="preserve">When a Councillor is elected or co-opted to join the </w:t>
      </w:r>
      <w:proofErr w:type="gramStart"/>
      <w:r>
        <w:rPr>
          <w:rFonts w:ascii="Verdana" w:hAnsi="Verdana"/>
          <w:color w:val="000000"/>
          <w:sz w:val="15"/>
          <w:szCs w:val="15"/>
        </w:rPr>
        <w:t>Council</w:t>
      </w:r>
      <w:proofErr w:type="gramEnd"/>
      <w:r>
        <w:rPr>
          <w:rFonts w:ascii="Verdana" w:hAnsi="Verdana"/>
          <w:color w:val="000000"/>
          <w:sz w:val="15"/>
          <w:szCs w:val="15"/>
        </w:rPr>
        <w:t xml:space="preserve"> they must sign a register of interests   You can view Councillor’s register of interest for this Council via the link </w:t>
      </w:r>
      <w:hyperlink r:id="rId6" w:history="1">
        <w:r>
          <w:rPr>
            <w:rStyle w:val="Hyperlink"/>
            <w:rFonts w:ascii="Verdana" w:hAnsi="Verdana"/>
            <w:sz w:val="15"/>
            <w:szCs w:val="15"/>
          </w:rPr>
          <w:t>Councillors register of interests » East Suffolk Council</w:t>
        </w:r>
      </w:hyperlink>
      <w:r>
        <w:rPr>
          <w:rFonts w:ascii="Verdana" w:hAnsi="Verdana"/>
          <w:color w:val="000000"/>
          <w:sz w:val="15"/>
          <w:szCs w:val="15"/>
        </w:rPr>
        <w:t>. </w:t>
      </w:r>
    </w:p>
    <w:p w14:paraId="15FF3BCE" w14:textId="77777777" w:rsidR="00437F82" w:rsidRDefault="00437F82" w:rsidP="00437F82">
      <w:pPr>
        <w:pStyle w:val="NormalWeb"/>
        <w:rPr>
          <w:rFonts w:ascii="Verdana" w:hAnsi="Verdana"/>
          <w:color w:val="000000"/>
          <w:sz w:val="15"/>
          <w:szCs w:val="15"/>
        </w:rPr>
      </w:pPr>
      <w:r>
        <w:rPr>
          <w:rFonts w:ascii="Verdana" w:hAnsi="Verdana"/>
          <w:color w:val="000000"/>
          <w:sz w:val="15"/>
          <w:szCs w:val="15"/>
        </w:rPr>
        <w:t>The Council is a corporate body and therefore the decisions ‘it’ makes are made collectively.  The key responsibility of a Parish Councillor is to serve the community it represents.  Councillors must abide by the Code of Conduct (available on this website). </w:t>
      </w:r>
    </w:p>
    <w:p w14:paraId="7BA61A56" w14:textId="3090E836" w:rsidR="00437F82" w:rsidRDefault="00437F82" w:rsidP="00437F82">
      <w:pPr>
        <w:pStyle w:val="NormalWeb"/>
        <w:rPr>
          <w:rFonts w:ascii="Verdana" w:hAnsi="Verdana"/>
          <w:color w:val="000000"/>
          <w:sz w:val="15"/>
          <w:szCs w:val="15"/>
        </w:rPr>
      </w:pPr>
      <w:r>
        <w:rPr>
          <w:rFonts w:ascii="Verdana" w:hAnsi="Verdana"/>
          <w:color w:val="000000"/>
          <w:sz w:val="15"/>
          <w:szCs w:val="15"/>
        </w:rPr>
        <w:t>In addition, administrative statutory duties which the Council must adhere to (such as the appointment of a Chairman, Responsible Finance Officer (RFO), independent internal auditor and adoption of the Code of Conduct. The Council must comply with the</w:t>
      </w:r>
      <w:hyperlink r:id="rId7" w:history="1">
        <w:r>
          <w:rPr>
            <w:rStyle w:val="Hyperlink"/>
            <w:rFonts w:ascii="Verdana" w:hAnsi="Verdana"/>
            <w:sz w:val="15"/>
            <w:szCs w:val="15"/>
          </w:rPr>
          <w:t> Freedom of Information Act 2000</w:t>
        </w:r>
      </w:hyperlink>
      <w:r>
        <w:rPr>
          <w:rFonts w:ascii="Verdana" w:hAnsi="Verdana"/>
          <w:color w:val="000000"/>
          <w:sz w:val="15"/>
          <w:szCs w:val="15"/>
        </w:rPr>
        <w:t>, </w:t>
      </w:r>
      <w:hyperlink r:id="rId8" w:history="1">
        <w:r>
          <w:rPr>
            <w:rStyle w:val="Hyperlink"/>
            <w:rFonts w:ascii="Verdana" w:hAnsi="Verdana"/>
            <w:sz w:val="15"/>
            <w:szCs w:val="15"/>
          </w:rPr>
          <w:t>Data Protection Act 2018 </w:t>
        </w:r>
      </w:hyperlink>
      <w:r>
        <w:rPr>
          <w:rFonts w:ascii="Verdana" w:hAnsi="Verdana"/>
          <w:color w:val="000000"/>
          <w:sz w:val="15"/>
          <w:szCs w:val="15"/>
        </w:rPr>
        <w:t> (and</w:t>
      </w:r>
      <w:hyperlink r:id="rId9" w:history="1">
        <w:r>
          <w:rPr>
            <w:rStyle w:val="Hyperlink"/>
            <w:rFonts w:ascii="Verdana" w:hAnsi="Verdana"/>
            <w:sz w:val="15"/>
            <w:szCs w:val="15"/>
          </w:rPr>
          <w:t> GDPR</w:t>
        </w:r>
      </w:hyperlink>
      <w:r>
        <w:rPr>
          <w:rFonts w:ascii="Verdana" w:hAnsi="Verdana"/>
          <w:color w:val="000000"/>
          <w:sz w:val="15"/>
          <w:szCs w:val="15"/>
        </w:rPr>
        <w:t>) and the </w:t>
      </w:r>
      <w:hyperlink r:id="rId10" w:history="1">
        <w:r>
          <w:rPr>
            <w:rStyle w:val="Hyperlink"/>
            <w:rFonts w:ascii="Verdana" w:hAnsi="Verdana"/>
            <w:sz w:val="15"/>
            <w:szCs w:val="15"/>
          </w:rPr>
          <w:t>Equality Act 2010</w:t>
        </w:r>
      </w:hyperlink>
      <w:r>
        <w:rPr>
          <w:rFonts w:ascii="Verdana" w:hAnsi="Verdana"/>
          <w:color w:val="000000"/>
          <w:sz w:val="15"/>
          <w:szCs w:val="15"/>
        </w:rPr>
        <w:t>.  As with any other employer the Council must comply with </w:t>
      </w:r>
      <w:hyperlink r:id="rId11" w:history="1">
        <w:r>
          <w:rPr>
            <w:rStyle w:val="Hyperlink"/>
            <w:rFonts w:ascii="Verdana" w:hAnsi="Verdana"/>
            <w:sz w:val="15"/>
            <w:szCs w:val="15"/>
          </w:rPr>
          <w:t>employment law</w:t>
        </w:r>
      </w:hyperlink>
      <w:r>
        <w:rPr>
          <w:rFonts w:ascii="Verdana" w:hAnsi="Verdana"/>
          <w:color w:val="000000"/>
          <w:sz w:val="15"/>
          <w:szCs w:val="15"/>
        </w:rPr>
        <w:t>.</w:t>
      </w:r>
    </w:p>
    <w:p w14:paraId="2E4D408A" w14:textId="77777777" w:rsidR="00437F82" w:rsidRDefault="00437F82" w:rsidP="00437F82">
      <w:pPr>
        <w:pStyle w:val="NormalWeb"/>
        <w:rPr>
          <w:rFonts w:ascii="Verdana" w:hAnsi="Verdana"/>
          <w:color w:val="000000"/>
          <w:sz w:val="15"/>
          <w:szCs w:val="15"/>
        </w:rPr>
      </w:pPr>
      <w:r>
        <w:rPr>
          <w:rFonts w:ascii="Verdana" w:hAnsi="Verdana"/>
          <w:color w:val="000000"/>
          <w:sz w:val="15"/>
          <w:szCs w:val="15"/>
        </w:rPr>
        <w:t>In June 2011, the </w:t>
      </w:r>
      <w:hyperlink r:id="rId12" w:history="1">
        <w:r>
          <w:rPr>
            <w:rStyle w:val="Hyperlink"/>
            <w:rFonts w:ascii="Verdana" w:hAnsi="Verdana"/>
            <w:sz w:val="15"/>
            <w:szCs w:val="15"/>
          </w:rPr>
          <w:t>Department for Communities and Local Government</w:t>
        </w:r>
      </w:hyperlink>
      <w:r>
        <w:rPr>
          <w:rFonts w:ascii="Verdana" w:hAnsi="Verdana"/>
          <w:color w:val="000000"/>
          <w:sz w:val="15"/>
          <w:szCs w:val="15"/>
        </w:rPr>
        <w:t> (DCLG) published a list of legal duties placed on local authorities.   To view the list the link below </w:t>
      </w:r>
      <w:hyperlink r:id="rId13" w:history="1">
        <w:r>
          <w:rPr>
            <w:rStyle w:val="Hyperlink"/>
            <w:rFonts w:ascii="Verdana" w:hAnsi="Verdana"/>
            <w:sz w:val="15"/>
            <w:szCs w:val="15"/>
          </w:rPr>
          <w:t>https://www.gov.uk/government/publications/review-of-local-government-statutory-duties-summary-of-response</w:t>
        </w:r>
      </w:hyperlink>
    </w:p>
    <w:p w14:paraId="03EA4EF8" w14:textId="77777777" w:rsidR="00872A2A" w:rsidRDefault="00872A2A"/>
    <w:sectPr w:rsidR="00872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82"/>
    <w:rsid w:val="002B2732"/>
    <w:rsid w:val="00437F82"/>
    <w:rsid w:val="006766AF"/>
    <w:rsid w:val="00812C59"/>
    <w:rsid w:val="00872A2A"/>
    <w:rsid w:val="00A8611A"/>
    <w:rsid w:val="00A97C53"/>
    <w:rsid w:val="00AE7A39"/>
    <w:rsid w:val="00CB474C"/>
    <w:rsid w:val="00CC2AEC"/>
    <w:rsid w:val="00F177F0"/>
    <w:rsid w:val="00F65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C701"/>
  <w15:chartTrackingRefBased/>
  <w15:docId w15:val="{DCADA54C-D898-4209-A9E9-C5D5CF4B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F82"/>
    <w:rPr>
      <w:rFonts w:eastAsiaTheme="majorEastAsia" w:cstheme="majorBidi"/>
      <w:color w:val="272727" w:themeColor="text1" w:themeTint="D8"/>
    </w:rPr>
  </w:style>
  <w:style w:type="paragraph" w:styleId="Title">
    <w:name w:val="Title"/>
    <w:basedOn w:val="Normal"/>
    <w:next w:val="Normal"/>
    <w:link w:val="TitleChar"/>
    <w:uiPriority w:val="10"/>
    <w:qFormat/>
    <w:rsid w:val="00437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F82"/>
    <w:pPr>
      <w:spacing w:before="160"/>
      <w:jc w:val="center"/>
    </w:pPr>
    <w:rPr>
      <w:i/>
      <w:iCs/>
      <w:color w:val="404040" w:themeColor="text1" w:themeTint="BF"/>
    </w:rPr>
  </w:style>
  <w:style w:type="character" w:customStyle="1" w:styleId="QuoteChar">
    <w:name w:val="Quote Char"/>
    <w:basedOn w:val="DefaultParagraphFont"/>
    <w:link w:val="Quote"/>
    <w:uiPriority w:val="29"/>
    <w:rsid w:val="00437F82"/>
    <w:rPr>
      <w:i/>
      <w:iCs/>
      <w:color w:val="404040" w:themeColor="text1" w:themeTint="BF"/>
    </w:rPr>
  </w:style>
  <w:style w:type="paragraph" w:styleId="ListParagraph">
    <w:name w:val="List Paragraph"/>
    <w:basedOn w:val="Normal"/>
    <w:uiPriority w:val="34"/>
    <w:qFormat/>
    <w:rsid w:val="00437F82"/>
    <w:pPr>
      <w:ind w:left="720"/>
      <w:contextualSpacing/>
    </w:pPr>
  </w:style>
  <w:style w:type="character" w:styleId="IntenseEmphasis">
    <w:name w:val="Intense Emphasis"/>
    <w:basedOn w:val="DefaultParagraphFont"/>
    <w:uiPriority w:val="21"/>
    <w:qFormat/>
    <w:rsid w:val="00437F82"/>
    <w:rPr>
      <w:i/>
      <w:iCs/>
      <w:color w:val="0F4761" w:themeColor="accent1" w:themeShade="BF"/>
    </w:rPr>
  </w:style>
  <w:style w:type="paragraph" w:styleId="IntenseQuote">
    <w:name w:val="Intense Quote"/>
    <w:basedOn w:val="Normal"/>
    <w:next w:val="Normal"/>
    <w:link w:val="IntenseQuoteChar"/>
    <w:uiPriority w:val="30"/>
    <w:qFormat/>
    <w:rsid w:val="00437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F82"/>
    <w:rPr>
      <w:i/>
      <w:iCs/>
      <w:color w:val="0F4761" w:themeColor="accent1" w:themeShade="BF"/>
    </w:rPr>
  </w:style>
  <w:style w:type="character" w:styleId="IntenseReference">
    <w:name w:val="Intense Reference"/>
    <w:basedOn w:val="DefaultParagraphFont"/>
    <w:uiPriority w:val="32"/>
    <w:qFormat/>
    <w:rsid w:val="00437F82"/>
    <w:rPr>
      <w:b/>
      <w:bCs/>
      <w:smallCaps/>
      <w:color w:val="0F4761" w:themeColor="accent1" w:themeShade="BF"/>
      <w:spacing w:val="5"/>
    </w:rPr>
  </w:style>
  <w:style w:type="paragraph" w:styleId="NormalWeb">
    <w:name w:val="Normal (Web)"/>
    <w:basedOn w:val="Normal"/>
    <w:uiPriority w:val="99"/>
    <w:semiHidden/>
    <w:unhideWhenUsed/>
    <w:rsid w:val="00437F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437F82"/>
    <w:rPr>
      <w:i/>
      <w:iCs/>
    </w:rPr>
  </w:style>
  <w:style w:type="character" w:styleId="Hyperlink">
    <w:name w:val="Hyperlink"/>
    <w:basedOn w:val="DefaultParagraphFont"/>
    <w:uiPriority w:val="99"/>
    <w:semiHidden/>
    <w:unhideWhenUsed/>
    <w:rsid w:val="00437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8/12/contents" TargetMode="External"/><Relationship Id="rId13" Type="http://schemas.openxmlformats.org/officeDocument/2006/relationships/hyperlink" Target="https://www.gov.uk/government/publications/review-of-local-government-statutory-duties-summary-of-responses--2" TargetMode="External"/><Relationship Id="rId3" Type="http://schemas.openxmlformats.org/officeDocument/2006/relationships/webSettings" Target="webSettings.xml"/><Relationship Id="rId7" Type="http://schemas.openxmlformats.org/officeDocument/2006/relationships/hyperlink" Target="http://www.legislation.gov.uk/ukpga/2000/36/contents" TargetMode="External"/><Relationship Id="rId12" Type="http://schemas.openxmlformats.org/officeDocument/2006/relationships/hyperlink" Target="https://data.gov.uk/dataset/statutory-duties-placed-on-local-govern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stsuffolk.gov.uk/yourcouncil/councillors/councillors-register-of-interests/" TargetMode="External"/><Relationship Id="rId11" Type="http://schemas.openxmlformats.org/officeDocument/2006/relationships/hyperlink" Target="https://millbrook-pc.gov.uk/wp-content/uploads/2017/08/Good-Employers-Guide.pdf" TargetMode="External"/><Relationship Id="rId5" Type="http://schemas.openxmlformats.org/officeDocument/2006/relationships/hyperlink" Target="https://www.parliament.uk/about/how/laws/acts/" TargetMode="External"/><Relationship Id="rId15" Type="http://schemas.openxmlformats.org/officeDocument/2006/relationships/theme" Target="theme/theme1.xml"/><Relationship Id="rId10" Type="http://schemas.openxmlformats.org/officeDocument/2006/relationships/hyperlink" Target="https://www.legislation.gov.uk/ukpga/2010/15/contents" TargetMode="External"/><Relationship Id="rId4" Type="http://schemas.openxmlformats.org/officeDocument/2006/relationships/hyperlink" Target="https://www.nalc.gov.uk/about-local-councils" TargetMode="External"/><Relationship Id="rId9" Type="http://schemas.openxmlformats.org/officeDocument/2006/relationships/hyperlink" Target="https://ico.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Abbott</dc:creator>
  <cp:keywords/>
  <dc:description/>
  <cp:lastModifiedBy>Chris Durrant</cp:lastModifiedBy>
  <cp:revision>2</cp:revision>
  <dcterms:created xsi:type="dcterms:W3CDTF">2026-05-22T12:57:00Z</dcterms:created>
  <dcterms:modified xsi:type="dcterms:W3CDTF">2026-05-22T12:57:00Z</dcterms:modified>
</cp:coreProperties>
</file>